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p>
      <w:pPr>
        <w:pStyle w:val="Normal"/>
        <w:spacing w:lineRule="auto" w:line="240"/>
        <w:jc w:val="right"/>
        <w:rPr>
          <w:rFonts w:ascii="Corbel" w:hAnsi="Corbel" w:eastAsia="Corbel"/>
        </w:rPr>
      </w:pPr>
      <w:r>
        <w:rPr>
          <w:rFonts w:eastAsia="Corbel" w:ascii="Corbel" w:hAnsi="Corbel"/>
          <w:b/>
          <w:bCs/>
        </w:rPr>
        <w:t xml:space="preserve">   </w:t>
      </w:r>
      <w:r>
        <w:rPr>
          <w:rFonts w:eastAsia="Corbel" w:ascii="Corbel" w:hAnsi="Corbel"/>
        </w:rPr>
        <w:tab/>
        <w:tab/>
        <w:tab/>
        <w:tab/>
        <w:tab/>
        <w:tab/>
      </w:r>
      <w:r>
        <w:rPr>
          <w:rFonts w:eastAsia="Corbel"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 w:eastAsia="Corbel"/>
        </w:rPr>
      </w:pPr>
      <w:r>
        <w:rPr>
          <w:rFonts w:eastAsia="Corbel"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 w:eastAsia="Corbel"/>
        </w:rPr>
      </w:pPr>
      <w:r>
        <w:rPr>
          <w:rFonts w:eastAsia="Corbel" w:ascii="Corbel" w:hAnsi="Corbel"/>
          <w:b/>
          <w:bCs/>
          <w:smallCaps/>
        </w:rPr>
        <w:t>dotyczy cyklu kształcenia</w:t>
      </w:r>
      <w:r>
        <w:rPr>
          <w:rFonts w:eastAsia="Corbel" w:ascii="Corbel" w:hAnsi="Corbel"/>
          <w:b/>
          <w:bCs/>
          <w:smallCaps/>
          <w:color w:val="000000"/>
        </w:rPr>
        <w:t xml:space="preserve"> </w:t>
      </w:r>
      <w:r>
        <w:rPr>
          <w:rFonts w:eastAsia="Corbel"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both"/>
        <w:rPr>
          <w:rFonts w:ascii="Corbel" w:hAnsi="Corbel" w:eastAsia="Corbel"/>
        </w:rPr>
      </w:pPr>
      <w:r>
        <w:rPr>
          <w:rFonts w:eastAsia="Corbel" w:ascii="Corbel" w:hAnsi="Corbel"/>
          <w:i/>
          <w:color w:val="000000"/>
        </w:rPr>
        <w:t xml:space="preserve">                                                                                                             </w:t>
      </w:r>
      <w:r>
        <w:rPr>
          <w:rFonts w:eastAsia="Corbel" w:ascii="Corbel" w:hAnsi="Corbel"/>
          <w:i/>
          <w:color w:val="000000"/>
          <w:sz w:val="20"/>
          <w:szCs w:val="20"/>
        </w:rPr>
        <w:t>(skrajne daty</w:t>
      </w:r>
      <w:r>
        <w:rPr>
          <w:rFonts w:eastAsia="Corbel" w:ascii="Corbel" w:hAnsi="Corbel"/>
          <w:color w:val="000000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rFonts w:ascii="Corbel" w:hAnsi="Corbel" w:eastAsia="Corbel"/>
        </w:rPr>
      </w:pPr>
      <w:r>
        <w:rPr>
          <w:rFonts w:eastAsia="Corbel" w:ascii="Corbel" w:hAnsi="Corbel"/>
          <w:color w:val="000000"/>
          <w:sz w:val="20"/>
          <w:szCs w:val="20"/>
        </w:rPr>
        <w:tab/>
        <w:tab/>
        <w:tab/>
        <w:tab/>
        <w:t>Rok akademicki   2029/2030</w:t>
      </w:r>
    </w:p>
    <w:p>
      <w:pPr>
        <w:pStyle w:val="Normal"/>
        <w:spacing w:lineRule="auto" w:line="240" w:before="0" w:after="0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szCs w:val="24"/>
        </w:rPr>
        <w:t>1. Podstawowe informacje o przedmiocie</w:t>
      </w:r>
    </w:p>
    <w:tbl>
      <w:tblPr>
        <w:tblW w:w="9781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79"/>
        <w:gridCol w:w="7102"/>
      </w:tblGrid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themeColor="text1" w:val="000000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olor w:themeColor="text1" w:val="000000"/>
                <w:sz w:val="24"/>
                <w:szCs w:val="24"/>
              </w:rPr>
              <w:t>Diagnozowanie specjalnych potrzeb rozwojowych i edukacyjnych dziecka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  <w:b w:val="false"/>
                <w:sz w:val="24"/>
                <w:szCs w:val="24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Autospacing="1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olor w:themeColor="text1" w:val="000000"/>
                <w:sz w:val="24"/>
                <w:szCs w:val="24"/>
              </w:rPr>
              <w:t>Wydział Pedagogiki i Filozofii</w:t>
            </w:r>
          </w:p>
          <w:p>
            <w:pPr>
              <w:pStyle w:val="Odpowiedzi"/>
              <w:spacing w:beforeAutospacing="1" w:after="0"/>
              <w:rPr>
                <w:rFonts w:ascii="Corbel" w:hAnsi="Corbel" w:eastAsia="Corbel"/>
                <w:b w:val="false"/>
                <w:sz w:val="24"/>
                <w:szCs w:val="24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Ni</w:t>
            </w:r>
            <w:r>
              <w:rPr>
                <w:rFonts w:eastAsia="Corbel" w:ascii="Corbel" w:hAnsi="Corbel"/>
                <w:b w:val="false"/>
                <w:sz w:val="24"/>
                <w:szCs w:val="24"/>
              </w:rPr>
              <w:t>estacjonarne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Rok IV, sem 8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dr Aneta Lew-Koralewicz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orbel" w:hAnsi="Corbel"/>
              </w:rPr>
            </w:pPr>
            <w:r>
              <w:rPr>
                <w:rFonts w:eastAsia="Corbel" w:ascii="Corbel" w:hAnsi="Corbel"/>
                <w:b w:val="false"/>
                <w:sz w:val="22"/>
                <w:szCs w:val="22"/>
              </w:rPr>
              <w:t>dr Agnieszka Łaba-Hornecka</w:t>
            </w:r>
          </w:p>
        </w:tc>
      </w:tr>
    </w:tbl>
    <w:p>
      <w:pPr>
        <w:pStyle w:val="Podpunkty"/>
        <w:spacing w:beforeAutospacing="1" w:afterAutospacing="1"/>
        <w:ind w:left="0"/>
        <w:rPr>
          <w:rFonts w:ascii="Corbel" w:hAnsi="Corbel" w:eastAsia="Corbel"/>
        </w:rPr>
      </w:pPr>
      <w:r>
        <w:rPr>
          <w:rFonts w:eastAsia="Corbel" w:ascii="Corbel" w:hAnsi="Corbel"/>
          <w:sz w:val="24"/>
          <w:szCs w:val="24"/>
        </w:rPr>
        <w:t xml:space="preserve">* </w:t>
      </w:r>
      <w:r>
        <w:rPr>
          <w:rFonts w:eastAsia="Corbel" w:ascii="Corbel" w:hAnsi="Corbel"/>
          <w:i/>
          <w:sz w:val="24"/>
          <w:szCs w:val="24"/>
        </w:rPr>
        <w:t>-</w:t>
      </w:r>
      <w:r>
        <w:rPr>
          <w:rFonts w:eastAsia="Corbel" w:ascii="Corbel" w:hAnsi="Corbel"/>
          <w:b w:val="false"/>
          <w:i/>
          <w:sz w:val="24"/>
          <w:szCs w:val="24"/>
        </w:rPr>
        <w:t>opcjonalni</w:t>
      </w:r>
      <w:r>
        <w:rPr>
          <w:rFonts w:eastAsia="Corbel" w:ascii="Corbel" w:hAnsi="Corbel"/>
          <w:b w:val="false"/>
          <w:sz w:val="24"/>
          <w:szCs w:val="24"/>
        </w:rPr>
        <w:t>e,</w:t>
      </w:r>
      <w:r>
        <w:rPr>
          <w:rFonts w:eastAsia="Corbel" w:ascii="Corbel" w:hAnsi="Corbel"/>
          <w:i/>
          <w:sz w:val="24"/>
          <w:szCs w:val="24"/>
        </w:rPr>
        <w:t xml:space="preserve"> </w:t>
      </w:r>
      <w:r>
        <w:rPr>
          <w:rFonts w:eastAsia="Corbel"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left="0"/>
        <w:rPr>
          <w:rFonts w:ascii="Corbel" w:hAnsi="Corbel" w:eastAsia="Corbel"/>
          <w:sz w:val="24"/>
          <w:szCs w:val="24"/>
        </w:rPr>
      </w:pPr>
      <w:r>
        <w:rPr>
          <w:rFonts w:eastAsia="Corbel" w:ascii="Corbel" w:hAnsi="Corbel"/>
          <w:sz w:val="24"/>
          <w:szCs w:val="24"/>
        </w:rPr>
      </w:r>
    </w:p>
    <w:p>
      <w:pPr>
        <w:pStyle w:val="Podpunkty"/>
        <w:ind w:left="284"/>
        <w:rPr>
          <w:rFonts w:ascii="Corbel" w:hAnsi="Corbel" w:eastAsia="Corbel"/>
        </w:rPr>
      </w:pPr>
      <w:r>
        <w:rPr>
          <w:rFonts w:eastAsia="Corbel"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left="0"/>
        <w:rPr>
          <w:rFonts w:ascii="Corbel" w:hAnsi="Corbel" w:eastAsia="Corbel"/>
          <w:sz w:val="24"/>
          <w:szCs w:val="24"/>
        </w:rPr>
      </w:pPr>
      <w:r>
        <w:rPr>
          <w:rFonts w:eastAsia="Corbel" w:ascii="Corbel" w:hAnsi="Corbel"/>
          <w:sz w:val="24"/>
          <w:szCs w:val="24"/>
        </w:rPr>
      </w:r>
    </w:p>
    <w:tbl>
      <w:tblPr>
        <w:tblW w:w="906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Wykł.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8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  <w:sz w:val="24"/>
                <w:szCs w:val="24"/>
              </w:rPr>
            </w:pPr>
            <w:r>
              <w:rPr>
                <w:rFonts w:eastAsia="Corbel" w:ascii="Corbel" w:hAnsi="Corbel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  <w:szCs w:val="24"/>
              </w:rPr>
              <w:t>4</w:t>
            </w:r>
          </w:p>
        </w:tc>
      </w:tr>
    </w:tbl>
    <w:p>
      <w:pPr>
        <w:pStyle w:val="Podpunkty"/>
        <w:ind w:left="0"/>
        <w:rPr>
          <w:rFonts w:ascii="Corbel" w:hAnsi="Corbel" w:eastAsia="Corbel"/>
          <w:b w:val="false"/>
          <w:sz w:val="24"/>
          <w:szCs w:val="24"/>
          <w:lang w:eastAsia="en-US"/>
        </w:rPr>
      </w:pPr>
      <w:r>
        <w:rPr>
          <w:rFonts w:eastAsia="Corbel"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 w:eastAsia="Corbel"/>
          <w:b w:val="false"/>
          <w:sz w:val="24"/>
          <w:szCs w:val="24"/>
          <w:lang w:eastAsia="en-US"/>
        </w:rPr>
      </w:pPr>
      <w:r>
        <w:rPr>
          <w:rFonts w:eastAsia="Corbel"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left="284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left="709"/>
        <w:rPr>
          <w:rFonts w:ascii="Corbel" w:hAnsi="Corbel" w:eastAsia="Corbel"/>
        </w:rPr>
      </w:pPr>
      <w:r>
        <w:rPr>
          <w:rFonts w:eastAsia="Corbel" w:cs="MS Gothic" w:hint="eastAsia" w:ascii="Corbel" w:hAnsi="Corbel"/>
          <w:b w:val="false"/>
          <w:szCs w:val="24"/>
          <w:u w:val="single"/>
        </w:rPr>
        <w:t>☒</w:t>
      </w:r>
      <w:r>
        <w:rPr>
          <w:rFonts w:eastAsia="Corbel" w:ascii="Corbel" w:hAnsi="Corbel"/>
          <w:b w:val="false"/>
          <w:caps w:val="false"/>
          <w:smallCaps w:val="false"/>
          <w:szCs w:val="24"/>
          <w:u w:val="single"/>
        </w:rPr>
        <w:t xml:space="preserve"> </w:t>
      </w:r>
      <w:r>
        <w:rPr>
          <w:rFonts w:eastAsia="Corbel" w:ascii="Corbel" w:hAnsi="Corbel"/>
          <w:b w:val="false"/>
          <w:caps w:val="false"/>
          <w:smallCaps w:val="false"/>
          <w:szCs w:val="24"/>
          <w:u w:val="single"/>
        </w:rPr>
        <w:t xml:space="preserve">zajęcia w formie tradycyjnej </w:t>
      </w:r>
    </w:p>
    <w:p>
      <w:pPr>
        <w:pStyle w:val="Punktygwne"/>
        <w:spacing w:before="0" w:after="0"/>
        <w:ind w:left="709"/>
        <w:rPr>
          <w:rFonts w:ascii="Corbel" w:hAnsi="Corbel" w:eastAsia="Corbel"/>
        </w:rPr>
      </w:pPr>
      <w:r>
        <w:rPr>
          <w:rFonts w:eastAsia="Corbel" w:cs="MS Gothic" w:hint="eastAsia" w:ascii="Corbel" w:hAnsi="Corbel"/>
          <w:b w:val="false"/>
          <w:szCs w:val="24"/>
        </w:rPr>
        <w:t>☐</w:t>
      </w:r>
      <w:r>
        <w:rPr>
          <w:rFonts w:eastAsia="Corbel"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eastAsia="Corbel"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left="709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eastAsia="Corbel" w:ascii="Corbel" w:hAnsi="Corbel"/>
          <w:b w:val="false"/>
          <w:caps w:val="false"/>
          <w:smallCaps w:val="false"/>
          <w:szCs w:val="24"/>
        </w:rPr>
        <w:t>(egzamin, zaliczenie z oceną, zaliczenie bez oceny)</w:t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b w:val="false"/>
          <w:szCs w:val="24"/>
        </w:rPr>
        <w:t>Zaliczenie z oceną</w:t>
      </w:r>
    </w:p>
    <w:p>
      <w:pPr>
        <w:pStyle w:val="Punktygwne"/>
        <w:spacing w:before="0" w:after="0"/>
        <w:rPr>
          <w:rFonts w:ascii="Corbel" w:hAnsi="Corbel" w:eastAsia="Corbel"/>
          <w:b w:val="false"/>
          <w:szCs w:val="24"/>
        </w:rPr>
      </w:pPr>
      <w:r>
        <w:rPr>
          <w:rFonts w:eastAsia="Corbel"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szCs w:val="24"/>
        </w:rPr>
        <w:t xml:space="preserve">2.Wymagania wstępne 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Podstawowa wiedza z zakresu </w:t>
            </w: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0"/>
              </w:rPr>
              <w:t>pedagogiki i psychologii, pedagogiki specjalnej, psychologii rozwojowej.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szCs w:val="24"/>
        </w:rPr>
      </w:pPr>
      <w:r>
        <w:rPr>
          <w:rFonts w:eastAsia="Corbel"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szCs w:val="24"/>
        </w:rPr>
        <w:t>3. cele, efekty uczenia się, treści Programowe i stosowane metody Dydaktyczne</w:t>
      </w:r>
    </w:p>
    <w:p>
      <w:pPr>
        <w:pStyle w:val="Punktygwne"/>
        <w:spacing w:before="0" w:after="0"/>
        <w:rPr>
          <w:rFonts w:ascii="Corbel" w:hAnsi="Corbel" w:eastAsia="Corbel"/>
          <w:szCs w:val="24"/>
        </w:rPr>
      </w:pPr>
      <w:r>
        <w:rPr>
          <w:rFonts w:eastAsia="Corbel" w:ascii="Corbel" w:hAnsi="Corbel"/>
          <w:szCs w:val="24"/>
        </w:rPr>
      </w:r>
    </w:p>
    <w:p>
      <w:pPr>
        <w:pStyle w:val="Podpunkty"/>
        <w:rPr>
          <w:rFonts w:ascii="Corbel" w:hAnsi="Corbel" w:eastAsia="Corbel"/>
        </w:rPr>
      </w:pPr>
      <w:r>
        <w:rPr>
          <w:rFonts w:eastAsia="Corbel" w:ascii="Corbel" w:hAnsi="Corbel"/>
          <w:sz w:val="24"/>
          <w:szCs w:val="24"/>
        </w:rPr>
        <w:t>3.1 Cele przedmiotu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eastAsia="Corbel" w:ascii="Corbel" w:hAnsi="Corbel"/>
                <w:b w:val="false"/>
                <w:bCs/>
              </w:rPr>
              <w:t>Dostarczenie wiedzy dotyczącej podstawowych założeń diagnozy pedagogicznej dzieci i uczniów ze specjalnymi potrzebami edukacyjnymi, jej podstaw prawnych i roli pedagoga w wielospecjalistycznym zespole diagnostyczno-terapeutycznym.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eastAsia="Corbel" w:ascii="Corbel" w:hAnsi="Corbel"/>
                <w:b w:val="false"/>
                <w:bCs/>
              </w:rPr>
              <w:t>Przygotowanie do prowadzenia procesu wieloprofilowej diagnozy pedagogicznej dzieci i uczniów ze specjalnymi potrzebami edukacyjnymi w przedszkolu i edukacji wczesnoszkolnej z wykorzystaniem bezpośrednich i pośrednich metod zbierania danych.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C</w:t>
            </w:r>
            <w:r>
              <w:rPr>
                <w:rFonts w:eastAsia="Corbel" w:ascii="Corbel" w:hAnsi="Corbel"/>
                <w:b w:val="false"/>
              </w:rPr>
              <w:t>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eastAsia="Corbel" w:ascii="Corbel" w:hAnsi="Corbel"/>
                <w:b w:val="false"/>
                <w:bCs/>
              </w:rPr>
              <w:t>Nabycie umiejętności rozpoznawania potrzeb, możliwości i uzdolnień uczniów oraz projektowania działań wspierających integralny rozwój uczniów.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ind w:left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eastAsia="Corbel" w:ascii="Corbel" w:hAnsi="Corbel"/>
                <w:b w:val="false"/>
                <w:bCs/>
              </w:rPr>
              <w:t>Kształtowanie umiejętności pracy zespołowej w procesie wielospecjalistycznej oceny poziomu funkcjonowania.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sz w:val="24"/>
                <w:szCs w:val="24"/>
              </w:rPr>
              <w:t>C5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/>
            </w:pPr>
            <w:r>
              <w:rPr>
                <w:rStyle w:val="fontstyle01"/>
                <w:rFonts w:eastAsia="Corbel" w:ascii="Corbel" w:hAnsi="Corbel"/>
                <w:b w:val="false"/>
              </w:rPr>
              <w:t>Kształtowanie kompetencji diagnostycznych w oparciu o przestrzeganie zasad etycznych i norm moralnych w procesie pracy z uczniem o zróżnicowanych potrzebach edukacyjnych.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color w:val="000000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b/>
        </w:rPr>
        <w:t>3.2 Efekty uczenia się dla przedmiotu</w:t>
      </w:r>
      <w:r>
        <w:rPr>
          <w:rFonts w:eastAsia="Corbel"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88"/>
        <w:gridCol w:w="5534"/>
        <w:gridCol w:w="1832"/>
      </w:tblGrid>
      <w:tr>
        <w:trPr/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Cs/>
              </w:rPr>
              <w:t>EK</w:t>
              <w:softHyphen/>
              <w:t>_01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  <w:bCs/>
                <w:color w:val="000000"/>
                <w:sz w:val="24"/>
              </w:rPr>
              <w:t>W zakresie wiedzy student  zna i rozumie: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  <w:sz w:val="24"/>
              </w:rPr>
              <w:t>F.W1. teorie, koncepcje i modele specjalnych potrzeb rozwojowych i edukacyjnych – medyczne, społeczne, biopsychospołeczne, w tym ADHD, ryzyka dysleksji,</w:t>
            </w:r>
            <w:r>
              <w:rPr>
                <w:rFonts w:eastAsia="Corbel" w:ascii="Corbel" w:hAnsi="Corbel"/>
                <w:color w:val="00000A"/>
                <w:sz w:val="24"/>
              </w:rPr>
              <w:t xml:space="preserve">trudności związanych z nabywaniem umiejętności arytmetycznych, </w:t>
            </w:r>
            <w:r>
              <w:rPr>
                <w:rFonts w:eastAsia="Corbel" w:ascii="Corbel" w:hAnsi="Corbel"/>
                <w:color w:val="000000"/>
                <w:sz w:val="24"/>
              </w:rPr>
              <w:t>autystycznego spektrum zaburzeń, niepełnosprawności intelektualnej, mózgowego porażenia dziecięcego i innych zaburzeń ruchowych, zaburzeń o podłożu genetycznym, chorób przewlekłych i odmienności somatycznych;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PPiW.W13</w:t>
            </w:r>
          </w:p>
        </w:tc>
      </w:tr>
      <w:tr>
        <w:trPr/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Cs/>
              </w:rPr>
              <w:t>EK_02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 w obszarze rozwoju fizyczno-ruchowego, poznawczego i emocjonalno-społecznego.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PPiW.W14</w:t>
            </w:r>
          </w:p>
        </w:tc>
      </w:tr>
      <w:tr>
        <w:trPr/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EK</w:t>
              <w:softHyphen/>
              <w:t>_03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</w:rPr>
              <w:t>F.W3. założenia, zasady i klasyfikacje, w tym ICF, ICD, DSM, oraz narzędzia oceny funkcjonalnej dzieci w wieku przedszkolnym i uczniów w młodszym wieku szkolnym;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PPiW.W18</w:t>
            </w:r>
          </w:p>
        </w:tc>
      </w:tr>
      <w:tr>
        <w:trPr/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EK</w:t>
              <w:softHyphen/>
              <w:t>_04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</w:rPr>
              <w:t>F.W4. teorie, klasyfikacje, przyczyny i przejawy trudności w rozwoju, uczeniu się  i zachowaniu u dzieci w wieku przedszkolnym i młodszym wieku szkolnym;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PPiW.W13</w:t>
            </w:r>
          </w:p>
        </w:tc>
      </w:tr>
      <w:tr>
        <w:trPr/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EK_05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  <w:bCs/>
                <w:sz w:val="24"/>
              </w:rPr>
              <w:t>W zakresie umiejętności student potrafi: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</w:rPr>
              <w:t xml:space="preserve">F.U1. dokonać oceny funkcjonalnej składników zdrowia i niektórych powiązanych z nim warunków dobrostanu i środowiska dziecka w wieku przedszkolnym i ucznia w młodszym wieku szkolnym, w tym dziecka z niepełnosprawnością, wykorzystując </w:t>
            </w:r>
            <w:r>
              <w:rPr>
                <w:rFonts w:eastAsia="Corbel" w:ascii="Corbel" w:hAnsi="Corbel"/>
                <w:sz w:val="24"/>
                <w:u w:val="none"/>
              </w:rPr>
              <w:t>klasyfikacje i narzędzia diagnostyczne, w tym ICF, ICD i DSM;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PpiW.U02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PPiW.U014</w:t>
            </w:r>
          </w:p>
        </w:tc>
      </w:tr>
      <w:tr>
        <w:trPr/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EK_06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</w:rPr>
              <w:t>F.U2. rozpoznać specjalne potrzeby rozwojowe i edukacyjne dziecka w wieku przedszkolnym i ucznia w młodszym wieku szkolnym oraz określić optymalne sposoby organizowania środowiska edukacyjnego oraz wspomagania dziecka lub ucznia i jego rodziców lub opiekunów  w procesie wychowania i kształcenia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PPiW.U14</w:t>
            </w:r>
          </w:p>
        </w:tc>
      </w:tr>
      <w:tr>
        <w:trPr/>
        <w:tc>
          <w:tcPr>
            <w:tcW w:w="1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EK_07</w:t>
            </w:r>
          </w:p>
        </w:tc>
        <w:tc>
          <w:tcPr>
            <w:tcW w:w="5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  <w:bCs/>
                <w:sz w:val="24"/>
              </w:rPr>
              <w:t>W zakresie kompetencji społecznych student  jest gotów do: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smallCaps/>
              </w:rPr>
              <w:t>PPiW.K04</w:t>
            </w:r>
          </w:p>
        </w:tc>
      </w:tr>
    </w:tbl>
    <w:p>
      <w:pPr>
        <w:pStyle w:val="Normal"/>
        <w:rPr>
          <w:rFonts w:ascii="Corbel" w:hAnsi="Corbel" w:eastAsia="Corbel"/>
          <w:b/>
        </w:rPr>
      </w:pPr>
      <w:r>
        <w:rPr>
          <w:rFonts w:eastAsia="Corbel" w:ascii="Corbel" w:hAnsi="Corbel"/>
          <w:b/>
        </w:rPr>
      </w:r>
    </w:p>
    <w:p>
      <w:pPr>
        <w:pStyle w:val="ListParagraph"/>
        <w:spacing w:lineRule="auto" w:line="240"/>
        <w:ind w:left="426"/>
        <w:jc w:val="both"/>
        <w:rPr>
          <w:rFonts w:ascii="Corbel" w:hAnsi="Corbel" w:eastAsia="Corbel"/>
        </w:rPr>
      </w:pPr>
      <w:r>
        <w:rPr>
          <w:rFonts w:eastAsia="Corbel" w:ascii="Corbel" w:hAnsi="Corbel"/>
          <w:b/>
        </w:rPr>
        <w:t xml:space="preserve">3.3 Treści programowe </w:t>
      </w:r>
      <w:r>
        <w:rPr>
          <w:rFonts w:eastAsia="Corbel" w:ascii="Corbel" w:hAnsi="Corbel"/>
        </w:rPr>
        <w:t xml:space="preserve">  </w:t>
      </w:r>
    </w:p>
    <w:p>
      <w:pPr>
        <w:pStyle w:val="ListParagraph"/>
        <w:numPr>
          <w:ilvl w:val="0"/>
          <w:numId w:val="4"/>
        </w:numPr>
        <w:spacing w:lineRule="auto" w:line="240" w:before="0" w:after="120"/>
        <w:contextualSpacing/>
        <w:jc w:val="both"/>
        <w:rPr>
          <w:rFonts w:ascii="Corbel" w:hAnsi="Corbel" w:eastAsia="Corbel"/>
        </w:rPr>
      </w:pPr>
      <w:r>
        <w:rPr>
          <w:rFonts w:eastAsia="Corbel" w:ascii="Corbel" w:hAnsi="Corbel"/>
        </w:rPr>
        <w:t xml:space="preserve">Problematyka wykładu </w:t>
      </w:r>
    </w:p>
    <w:p>
      <w:pPr>
        <w:pStyle w:val="ListParagraph"/>
        <w:spacing w:lineRule="auto" w:line="240" w:before="0" w:after="120"/>
        <w:ind w:left="1080"/>
        <w:contextualSpacing/>
        <w:jc w:val="both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p>
      <w:pPr>
        <w:pStyle w:val="ListParagraph"/>
        <w:numPr>
          <w:ilvl w:val="0"/>
          <w:numId w:val="4"/>
        </w:numPr>
        <w:spacing w:lineRule="auto" w:line="240" w:before="0" w:after="200"/>
        <w:ind w:hanging="360" w:left="1080"/>
        <w:contextualSpacing/>
        <w:jc w:val="both"/>
        <w:rPr>
          <w:rFonts w:ascii="Corbel" w:hAnsi="Corbel" w:eastAsia="Corbel"/>
        </w:rPr>
      </w:pPr>
      <w:r>
        <w:rPr>
          <w:rFonts w:eastAsia="Corbel" w:ascii="Corbel" w:hAnsi="Corbel"/>
        </w:rPr>
        <w:t>Problematyka ćwiczeń konwersatoryjnych</w:t>
      </w:r>
    </w:p>
    <w:p>
      <w:pPr>
        <w:pStyle w:val="ListParagraph"/>
        <w:spacing w:lineRule="auto" w:line="240"/>
        <w:rPr>
          <w:rFonts w:ascii="Corbel" w:hAnsi="Corbel" w:eastAsia="Corbel"/>
        </w:rPr>
      </w:pPr>
      <w:r>
        <w:rPr>
          <w:rFonts w:eastAsia="Corbel"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Wprowadzenie w problematykę przedmiotu, omówienie podstawowych terminów,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charakterystyka procesu diagnozy pedagogicznej, jej podstawowych zasad.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nozologiczna – klasyfikacja ICD-11 i DSM V.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Charakterystyka klasyfikacji ICF.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Metody bezpośrednie i pośrednie w procesie diagnozy funkcjonalnej.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Narzędzia diagnozy funkcjonalnej dzieci w wieku przedszkolnym i uczniów w młodszym wieku  szkolnym.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Etapy diagnozy pedagogicznej dziecka i ucznia ze specjalnymi potrzebami edukacyjnymi.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funkcjonalna i diagnoza wielospecjalistyczna w planowaniu oddziaływań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wspierających podopiecznych o specjalnych potrzebach edukacyjnych wynikających z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niepełnosprawności (niepełnosprawność intelektualna, zaburzenia ze spektrum autyzmu,   dysfunkcje wzroku, dysfunkcje słuchu, niepełnosprawność ruchowa, afazja,  niepełnosprawności sprzężone).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specjalnych potrzeb edukacyjnych ucznia wynikających z zagrożenia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niedostosowaniem społecznym lub niedostosowania społecznego.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specyficznych trudności w uczeniu się i niepowodzeń edukacyjnych.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zaburzeń komunikacji językowej dzieci w wieku przedszkolnym i uczniów w</w:t>
            </w:r>
          </w:p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młodszym wieku szkolnym.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left="708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specjalnych potrzeb edukacyjnych ucznia z choroba przewlekłą.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59" w:left="59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potrzeb ucznia znajdującego się w sytuacji kryzysowej lub traumatycznej.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59" w:left="59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trudności adaptacyjnych związanych z różnicami kulturowymi i zmianą środowiska edukacyjnego.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59" w:left="59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Diagnoza potrzeb ucznia wynikających z wychowywania się w środowisku o trudnej sytuacji bytowej i wychowawczej.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83" w:left="-83"/>
              <w:contextualSpacing/>
              <w:jc w:val="left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Opracowanie diagnoz pedagogicznych na podstawie analizy indywidualnych przypadków – ćwiczenia praktyczne.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83" w:left="-83"/>
              <w:contextualSpacing/>
              <w:jc w:val="both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Przygotowanie wniosków z diagnozy do indywidualnych programów edukacyjno-terapeutycznych.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b w:val="false"/>
          <w:szCs w:val="24"/>
        </w:rPr>
      </w:pPr>
      <w:r>
        <w:rPr>
          <w:rFonts w:eastAsia="Corbel"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  <w:b w:val="false"/>
          <w:szCs w:val="24"/>
        </w:rPr>
      </w:pPr>
      <w:r>
        <w:rPr>
          <w:rFonts w:eastAsia="Corbel"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  <w:b w:val="false"/>
          <w:szCs w:val="24"/>
        </w:rPr>
      </w:pPr>
      <w:r>
        <w:rPr>
          <w:rFonts w:eastAsia="Corbel"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  <w:b w:val="false"/>
          <w:szCs w:val="24"/>
        </w:rPr>
      </w:pPr>
      <w:r>
        <w:rPr>
          <w:rFonts w:eastAsia="Corbel"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  <w:b w:val="false"/>
          <w:szCs w:val="24"/>
        </w:rPr>
      </w:pPr>
      <w:r>
        <w:rPr>
          <w:rFonts w:eastAsia="Corbel" w:ascii="Corbel" w:hAnsi="Corbel"/>
          <w:b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>3.4 Metody dydaktyczne</w:t>
      </w:r>
      <w:r>
        <w:rPr>
          <w:rFonts w:eastAsia="Corbel"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jc w:val="both"/>
        <w:rPr>
          <w:rFonts w:ascii="Corbel" w:hAnsi="Corbel" w:eastAsia="Corbel"/>
        </w:rPr>
      </w:pPr>
      <w:r>
        <w:rPr>
          <w:rFonts w:eastAsia="Corbel" w:ascii="Corbel" w:hAnsi="Corbel"/>
          <w:b w:val="false"/>
          <w:i/>
          <w:caps w:val="false"/>
          <w:smallCaps w:val="false"/>
          <w:sz w:val="20"/>
          <w:szCs w:val="20"/>
        </w:rPr>
        <w:t xml:space="preserve">Ćwiczenia konwersatoryjne:  analiza tekstów z dyskusją, praca w grupach (rozwiązywanie zadań, dyskusja)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84"/>
        <w:gridCol w:w="4898"/>
        <w:gridCol w:w="2072"/>
      </w:tblGrid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Symbol efektu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Metody oceny efektów uczenia się</w:t>
            </w:r>
          </w:p>
          <w:p>
            <w:pPr>
              <w:pStyle w:val="Normal"/>
              <w:spacing w:before="0" w:after="16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Forma zajęć dydaktycznych</w:t>
            </w:r>
          </w:p>
          <w:p>
            <w:pPr>
              <w:pStyle w:val="Normal"/>
              <w:spacing w:before="0" w:after="16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(w, ćw, …)</w:t>
            </w:r>
          </w:p>
        </w:tc>
      </w:tr>
      <w:tr>
        <w:trPr>
          <w:trHeight w:val="424" w:hRule="atLeast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bCs/>
                <w:color w:val="000000"/>
              </w:rPr>
              <w:t>EK_ 01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Kolokwium,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Konwersatoria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bCs/>
                <w:color w:val="000000"/>
              </w:rPr>
              <w:t>EK_ 02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Kolokwium,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Konwersatoria</w:t>
            </w:r>
          </w:p>
        </w:tc>
      </w:tr>
      <w:tr>
        <w:trPr>
          <w:trHeight w:val="426" w:hRule="atLeast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EK_03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Kolokwium, 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Konwersatoria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EK_ 04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Kolokwium, 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Konwersatoria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EK_ 05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Projekt,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Konwersatoria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EK_ 06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Projekt,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Konwersatoria</w:t>
            </w:r>
          </w:p>
        </w:tc>
      </w:tr>
      <w:tr>
        <w:trPr/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EK_07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</w:rPr>
              <w:t>Konwersatoria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left="426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 w:eastAsia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Obecność i aktywność podczas zajęć.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 w:eastAsia="Corbel"/>
                <w:b w:val="false"/>
                <w:caps w:val="false"/>
                <w:smallCaps w:val="false"/>
                <w:color w:val="000000"/>
                <w:szCs w:val="24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Pozytywna ocena z kolokwium, obejmującego treści programowe realizowane w  trakcie zajęć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jc w:val="both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Kryteria oceny prac pisemnych: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jc w:val="both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5.0 - wykazuje znajomość każdej z treści kształcenia na poziomie 91%-100%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jc w:val="both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4.5 – wykazuje znajomość każdej z treści kształcenia na poziomie 81%-90%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jc w:val="both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4.0 – wykazuje znajomość każdej z treści kształcenia na poziomie 71%-80%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jc w:val="both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3.5 – wykazuje znajomość każdej z treści kształcenia na poziomie 61%-70%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jc w:val="both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3.0 – wykazuje znajomość każdej z treści kształcenia na poziomie 51%-60%</w:t>
            </w:r>
          </w:p>
          <w:p>
            <w:pPr>
              <w:pStyle w:val="Punktygwne"/>
              <w:numPr>
                <w:ilvl w:val="0"/>
                <w:numId w:val="1"/>
              </w:numPr>
              <w:spacing w:before="0" w:after="0"/>
              <w:ind w:hanging="318" w:left="318"/>
              <w:jc w:val="both"/>
              <w:rPr>
                <w:rFonts w:ascii="Corbel" w:hAnsi="Corbel" w:eastAsia="Corbel"/>
                <w:b w:val="false"/>
                <w:caps w:val="false"/>
                <w:smallCaps w:val="false"/>
                <w:color w:val="000000"/>
                <w:szCs w:val="24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2.0– wykazuje znajomość każdej z treści kształcenia poniżej 51%</w:t>
            </w:r>
          </w:p>
          <w:p>
            <w:pPr>
              <w:pStyle w:val="Punktygwne"/>
              <w:numPr>
                <w:ilvl w:val="0"/>
                <w:numId w:val="0"/>
              </w:numPr>
              <w:spacing w:before="0" w:after="0"/>
              <w:ind w:hanging="0" w:left="318"/>
              <w:jc w:val="both"/>
              <w:rPr>
                <w:rFonts w:ascii="Corbel" w:hAnsi="Corbel" w:eastAsia="Corbel"/>
                <w:b w:val="false"/>
                <w:caps w:val="false"/>
                <w:smallCaps w:val="false"/>
                <w:color w:val="000000"/>
                <w:szCs w:val="24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</w:r>
          </w:p>
          <w:p>
            <w:pPr>
              <w:pStyle w:val="Punktygwne"/>
              <w:numPr>
                <w:ilvl w:val="0"/>
                <w:numId w:val="0"/>
              </w:numPr>
              <w:spacing w:before="0" w:after="0"/>
              <w:ind w:hanging="0" w:left="318"/>
              <w:jc w:val="both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  <w:shd w:fill="FFFFFF" w:val="clear"/>
              </w:rPr>
              <w:t>3. Przygotowanie pracy projektowej – diagnozy pedagogicznej wybranego przypadku</w:t>
            </w:r>
            <w:r>
              <w:rPr>
                <w:rFonts w:eastAsia="Corbel" w:ascii="Corbel" w:hAnsi="Corbel"/>
                <w:b w:val="false"/>
                <w:iCs/>
                <w:caps w:val="false"/>
                <w:smallCaps w:val="false"/>
                <w:color w:val="000000"/>
                <w:szCs w:val="24"/>
                <w:shd w:fill="FFFFFF" w:val="clear"/>
              </w:rPr>
              <w:t>.</w:t>
            </w:r>
          </w:p>
          <w:p>
            <w:pPr>
              <w:pStyle w:val="Normal"/>
              <w:rPr>
                <w:rFonts w:ascii="Corbel" w:hAnsi="Corbel" w:eastAsia="Corbel"/>
                <w:color w:val="000000"/>
                <w:highlight w:val="none"/>
                <w:shd w:fill="FFFFFF" w:val="clear"/>
              </w:rPr>
            </w:pPr>
            <w:r>
              <w:rPr>
                <w:rFonts w:eastAsia="Corbel" w:ascii="Corbel" w:hAnsi="Corbel"/>
                <w:color w:val="000000"/>
                <w:shd w:fill="FFFFFF" w:val="clear"/>
              </w:rPr>
              <w:t>Kryteria oceny projektów:</w:t>
            </w:r>
          </w:p>
          <w:p>
            <w:pPr>
              <w:pStyle w:val="Normal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5,0 - projekt opracowany zdecydowanie samodzielnie przez studenta, który przedkłada twórcze rozwiązania na każdym etapie projektu;</w:t>
            </w:r>
          </w:p>
          <w:p>
            <w:pPr>
              <w:pStyle w:val="Normal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4,5 - projekt opracowany raczej samodzielnie przez studenta, który wymaga ukierunkowania na wybranych etapach projektu;</w:t>
            </w:r>
          </w:p>
          <w:p>
            <w:pPr>
              <w:pStyle w:val="Normal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4,0 - Projekt opracowany częściowo samodzielnie a częściowo pod kierunkiem nauczyciela. Student wymaga pomocy na wybranych etapach projektu;</w:t>
            </w:r>
          </w:p>
          <w:p>
            <w:pPr>
              <w:pStyle w:val="Normal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3,5 - Projekt opracowany raczej pod kierunkiem nauczyciela, który udziela pomocy na większości etapów projektu</w:t>
            </w:r>
          </w:p>
          <w:p>
            <w:pPr>
              <w:pStyle w:val="Normal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3,0 - Projekt opracowany zdecydowanie pod kierunkiem nauczyciela. Student wymagał stałej pomocy na każdym etapie projektu;</w:t>
            </w:r>
          </w:p>
          <w:p>
            <w:pPr>
              <w:pStyle w:val="Normal"/>
              <w:spacing w:before="0" w:after="16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color w:val="000000"/>
              </w:rPr>
              <w:t>2,0  - Student nie opracował projektu, jego wiedza i umiejętności są niewystarczające na każdym etapie projektu.</w:t>
            </w:r>
          </w:p>
        </w:tc>
      </w:tr>
    </w:tbl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left="284"/>
        <w:jc w:val="both"/>
        <w:rPr>
          <w:rFonts w:ascii="Corbel" w:hAnsi="Corbel" w:eastAsia="Corbel"/>
        </w:rPr>
      </w:pPr>
      <w:r>
        <w:rPr>
          <w:rFonts w:eastAsia="Corbel"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22"/>
        <w:gridCol w:w="4332"/>
      </w:tblGrid>
      <w:tr>
        <w:trPr>
          <w:trHeight w:val="560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Godziny z harmonogramu</w:t>
            </w:r>
            <w:r>
              <w:rPr>
                <w:rFonts w:eastAsia="Corbel" w:ascii="Corbel" w:hAnsi="Corbel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orbel" w:ascii="Corbel" w:hAnsi="Corbel"/>
                <w:color w:val="000000"/>
              </w:rPr>
              <w:t>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15</w:t>
            </w:r>
          </w:p>
        </w:tc>
      </w:tr>
      <w:tr>
        <w:trPr>
          <w:trHeight w:val="694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ind w:hanging="0" w:left="0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Inne z udziałem nauczyciela akademickiego:</w:t>
            </w:r>
          </w:p>
          <w:p>
            <w:pPr>
              <w:pStyle w:val="ListParagraph"/>
              <w:spacing w:before="0" w:after="160"/>
              <w:contextualSpacing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(udział  w kolokwium 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2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Godziny niekontaktowe – praca własna studenta</w:t>
            </w:r>
          </w:p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(przygotowanie do zajęć, przygotowanie do kolokwium,  przygotowanie scenariusza do symulacji zajęć,  studiowanie literatury)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93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120</w:t>
            </w:r>
          </w:p>
        </w:tc>
      </w:tr>
      <w:tr>
        <w:trPr/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b/>
                <w:color w:val="000000"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 w:eastAsia="Corbel"/>
                <w:color w:val="000000"/>
              </w:rPr>
            </w:pPr>
            <w:r>
              <w:rPr>
                <w:rFonts w:eastAsia="Corbel" w:ascii="Corbel" w:hAnsi="Corbel"/>
                <w:color w:val="000000"/>
              </w:rPr>
              <w:t>4</w:t>
            </w:r>
          </w:p>
        </w:tc>
      </w:tr>
    </w:tbl>
    <w:p>
      <w:pPr>
        <w:pStyle w:val="Punktygwne"/>
        <w:spacing w:before="0" w:after="0"/>
        <w:ind w:left="426"/>
        <w:rPr>
          <w:rFonts w:ascii="Corbel" w:hAnsi="Corbel" w:eastAsia="Corbel"/>
        </w:rPr>
      </w:pPr>
      <w:r>
        <w:rPr>
          <w:rFonts w:eastAsia="Corbel"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left="360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Nie dotyczy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eastAsia="Corbel" w:ascii="Corbel" w:hAnsi="Corbel"/>
                <w:b w:val="false"/>
                <w:caps w:val="false"/>
                <w:smallCaps w:val="false"/>
                <w:szCs w:val="24"/>
              </w:rPr>
              <w:t>Nie dotyczy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 w:eastAsia="Corbel"/>
        </w:rPr>
      </w:pPr>
      <w:r>
        <w:rPr>
          <w:rFonts w:eastAsia="Corbel"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 w:eastAsia="Corbel"/>
          <w:caps w:val="false"/>
          <w:smallCaps w:val="false"/>
          <w:szCs w:val="24"/>
        </w:rPr>
      </w:pPr>
      <w:r>
        <w:rPr>
          <w:rFonts w:eastAsia="Corbel" w:ascii="Corbel" w:hAnsi="Corbel"/>
          <w:caps w:val="false"/>
          <w:smallCaps w:val="false"/>
          <w:szCs w:val="24"/>
        </w:rPr>
      </w:r>
    </w:p>
    <w:tbl>
      <w:tblPr>
        <w:tblW w:w="930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04"/>
      </w:tblGrid>
      <w:tr>
        <w:trPr>
          <w:trHeight w:val="397" w:hRule="atLeast"/>
        </w:trPr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Skałbania B., Diagnostyka pedagogiczna, Impuls, Kraków 2011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Wysocka E., Diagnostyka pedagogiczna. Nowe obszary      i rozwiązania, Impuls, Kraków 2013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Krakowiak K. (red.), Diagnoza specjalnych potrzeb rozwojowych   i edukacyjnych dzieci i młodzieży, ORE, Warszawa 2017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Olechowska A., Specjalne potrzeby edukacyjne, PWN Warszawa 2016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Bogdanowicz M., Ryzyko dysleksji, dysgrafii i dysortografii, Harmonia, Gdańsk 2011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Skarbek K., Wrońska I., Diagnoza i wspomaganie rozwoju ruchowego dziecka w wieku przedszkolnym, Wyd. Bliżej przedszkola, Kraków 2017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Kielin J., Profil osiągnięć ucznia, , GWP, Gdańsk 2016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Sundberg M., VB-MAPP, Warszawa 2015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Schopler E., Reichler R.J., Bashford A, Lansing M.D., Marcus L.M., Profil psychoedukacyjny, SPOA,  Gdańsk, 1995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Tanajewska A., Naprawa R., Diagnoza rozwoju ucznia    z niepełnosprawnością intelektualną w stopniu umiarkowanym, Harmonia, Gdańsk 2014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  <w:color w:themeColor="text1" w:val="000000"/>
              </w:rPr>
              <w:t>Romana Cybulska R., Hanna Derewlana H., Kacprzak A., Pęczek K., Uczeń ze specjalnymi potrzebami edukacyjnymi w systemie edukacji w świetle nowych przepisów prawa oświatowego ORE Warszawa 2017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Byers R., Rose R.,</w:t>
            </w:r>
            <w:r>
              <w:rPr>
                <w:rStyle w:val="fontstyle21"/>
                <w:rFonts w:eastAsia="Corbel" w:cs="Corbel" w:ascii="Corbel" w:hAnsi="Corbel"/>
              </w:rPr>
              <w:t xml:space="preserve"> </w:t>
            </w:r>
            <w:r>
              <w:rPr>
                <w:rStyle w:val="fontstyle31"/>
                <w:rFonts w:eastAsia="Corbel" w:cs="Corbel" w:ascii="Corbel" w:hAnsi="Corbel"/>
              </w:rPr>
              <w:t>Jak zaplanować pracę z dziećmi o specjalnych potrzebach edukacyjnych. Opracowanie metodyczne dla nauczycieli</w:t>
            </w:r>
            <w:r>
              <w:rPr>
                <w:rStyle w:val="fontstyle21"/>
                <w:rFonts w:eastAsia="Corbel" w:cs="Corbel" w:ascii="Corbel" w:hAnsi="Corbel"/>
                <w:b/>
                <w:bCs/>
              </w:rPr>
              <w:t>,</w:t>
            </w:r>
            <w:r>
              <w:rPr>
                <w:rStyle w:val="fontstyle21"/>
                <w:rFonts w:eastAsia="Corbel" w:cs="Corbel" w:ascii="Corbel" w:hAnsi="Corbel"/>
              </w:rPr>
              <w:t xml:space="preserve"> Warszawa, 2002, APS im M. Grzegorzewskiej.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Gładyszewska-Cylulko J., Specjalne potrzeby edukacyjne uczniów  z niepełnosprawnościami, Impuls, Kraków 2017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Lubińska-Kościółek E., Plutecka K., Stymulowanie potencjału twórczego osób z różnymi potrzebami edukacyjnymi, Impuls, Kraków 2011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Czarnocka M., Organizacja kształcenia uczniów ze specjalnymi potrzebami. Wskazówki dla dyrektorów i nauczycieli, Wiedza                 i praktyka  2016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425" w:left="459"/>
              <w:jc w:val="both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color w:themeColor="text1" w:val="000000"/>
              </w:rPr>
              <w:t>Klaczak M., Majewicz P. (red.): Diagnoza i rewalidacja dziecka  ze specjalnymi potrzebami edukacyjnymi. Kraków 2006.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ind w:hanging="425" w:left="459"/>
              <w:jc w:val="both"/>
              <w:rPr/>
            </w:pPr>
            <w:r>
              <w:rPr>
                <w:rStyle w:val="fontstyle01"/>
                <w:rFonts w:eastAsia="Corbel" w:cs="Corbel" w:ascii="Corbel" w:hAnsi="Corbel"/>
              </w:rPr>
              <w:t xml:space="preserve">Wyczesany J., Mikrut A., </w:t>
            </w:r>
            <w:r>
              <w:rPr>
                <w:rStyle w:val="fontstyle31"/>
                <w:rFonts w:eastAsia="Corbel" w:cs="Corbel" w:ascii="Corbel" w:hAnsi="Corbel"/>
              </w:rPr>
              <w:t>Kształcenie zintegrowane dzieci o specjalnych potrzebach edukacyjnych</w:t>
            </w:r>
            <w:r>
              <w:rPr>
                <w:rStyle w:val="fontstyle21"/>
                <w:rFonts w:eastAsia="Corbel" w:cs="Corbel" w:ascii="Corbel" w:hAnsi="Corbel"/>
                <w:b/>
                <w:bCs/>
              </w:rPr>
              <w:t xml:space="preserve">, </w:t>
            </w:r>
            <w:r>
              <w:rPr>
                <w:rStyle w:val="fontstyle21"/>
                <w:rFonts w:eastAsia="Corbel" w:cs="Corbel" w:ascii="Corbel" w:hAnsi="Corbel"/>
              </w:rPr>
              <w:t>Kraków, 2002, Wydawnictwo Naukowe AP</w:t>
            </w:r>
            <w:r>
              <w:rPr>
                <w:rFonts w:eastAsia="Corbel" w:cs="Corbel" w:ascii="Corbel" w:hAnsi="Corbel"/>
                <w:color w:themeColor="text1" w:val="000000"/>
              </w:rPr>
              <w:t>.</w:t>
            </w:r>
          </w:p>
        </w:tc>
      </w:tr>
      <w:tr>
        <w:trPr>
          <w:trHeight w:val="397" w:hRule="atLeast"/>
        </w:trPr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  <w:b w:val="false"/>
                <w:caps w:val="false"/>
                <w:smallCaps w:val="false"/>
              </w:rPr>
              <w:t>Literatura uzupełniająca: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Kruk-Lasocka J., Sekułowicz M. (red.): Wczesna diagnoza i terapia dzieci z utrudnieniami w rozwoju. Interdyscyplinarne problemy. Wrocław 2004.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Piszczek M.: Diagnoza i wspomaganie dziecka. Wybrane zagadnienia. Warszawa 2007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Piszczek M. (red.): Diagnoza wielospecjalistyczna i konstruowanie indywidualnych programów edukacyjnoterapeutycznych dla uczniów głębiej upośledzonych umysłowo. Warszawa 2011.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Barłóg K., Mach A., Zaborniak-Sobczak M</w:t>
            </w:r>
            <w:r>
              <w:rPr>
                <w:rStyle w:val="fontstyle21"/>
                <w:rFonts w:eastAsia="Corbel" w:cs="Corbel" w:ascii="Corbel" w:hAnsi="Corbel"/>
              </w:rPr>
              <w:t xml:space="preserve">.: </w:t>
            </w:r>
            <w:r>
              <w:rPr>
                <w:rStyle w:val="fontstyle31"/>
                <w:rFonts w:eastAsia="Corbel" w:cs="Corbel" w:ascii="Corbel" w:hAnsi="Corbel"/>
              </w:rPr>
              <w:t>Odkrywanie</w:t>
            </w:r>
            <w:r>
              <w:rPr>
                <w:rFonts w:eastAsia="Corbel" w:cs="Corbel" w:ascii="Corbel" w:hAnsi="Corbel"/>
                <w:b/>
                <w:bCs/>
              </w:rPr>
              <w:t xml:space="preserve"> </w:t>
            </w:r>
            <w:r>
              <w:rPr>
                <w:rStyle w:val="fontstyle31"/>
                <w:rFonts w:eastAsia="Corbel" w:cs="Corbel" w:ascii="Corbel" w:hAnsi="Corbel"/>
              </w:rPr>
              <w:t xml:space="preserve">talentów. Konteksty edukacji i rozwoju. </w:t>
            </w:r>
            <w:r>
              <w:rPr>
                <w:rStyle w:val="fontstyle21"/>
                <w:rFonts w:eastAsia="Corbel" w:cs="Corbel" w:ascii="Corbel" w:hAnsi="Corbel"/>
              </w:rPr>
              <w:t>Rzeszów 2012.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Chodkowska M</w:t>
            </w:r>
            <w:r>
              <w:rPr>
                <w:rStyle w:val="fontstyle21"/>
                <w:rFonts w:eastAsia="Corbel" w:cs="Corbel" w:ascii="Corbel" w:hAnsi="Corbel"/>
              </w:rPr>
              <w:t xml:space="preserve">., </w:t>
            </w:r>
            <w:r>
              <w:rPr>
                <w:rStyle w:val="fontstyle01"/>
                <w:rFonts w:eastAsia="Corbel" w:cs="Corbel" w:ascii="Corbel" w:hAnsi="Corbel"/>
              </w:rPr>
              <w:t xml:space="preserve">Osik-Chudowolska D. </w:t>
            </w:r>
            <w:r>
              <w:rPr>
                <w:rStyle w:val="fontstyle21"/>
                <w:rFonts w:eastAsia="Corbel" w:cs="Corbel" w:ascii="Corbel" w:hAnsi="Corbel"/>
              </w:rPr>
              <w:t>(red.): Osoba z</w:t>
            </w:r>
            <w:r>
              <w:rPr>
                <w:rFonts w:eastAsia="Corbel" w:cs="Corbel" w:ascii="Corbel" w:hAnsi="Corbel"/>
              </w:rPr>
              <w:t xml:space="preserve"> </w:t>
            </w:r>
            <w:r>
              <w:rPr>
                <w:rStyle w:val="fontstyle21"/>
                <w:rFonts w:eastAsia="Corbel" w:cs="Corbel" w:ascii="Corbel" w:hAnsi="Corbel"/>
              </w:rPr>
              <w:t>upośledzeniem umysłowym w realiach współczesnego świata.</w:t>
            </w:r>
            <w:r>
              <w:rPr>
                <w:rFonts w:eastAsia="Corbel" w:cs="Corbel" w:ascii="Corbel" w:hAnsi="Corbel"/>
              </w:rPr>
              <w:t xml:space="preserve"> </w:t>
            </w:r>
            <w:r>
              <w:rPr>
                <w:rStyle w:val="fontstyle21"/>
                <w:rFonts w:eastAsia="Corbel" w:cs="Corbel" w:ascii="Corbel" w:hAnsi="Corbel"/>
              </w:rPr>
              <w:t>Kraków 2011.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Głodkowska J</w:t>
            </w:r>
            <w:r>
              <w:rPr>
                <w:rStyle w:val="fontstyle21"/>
                <w:rFonts w:eastAsia="Corbel" w:cs="Corbel" w:ascii="Corbel" w:hAnsi="Corbel"/>
              </w:rPr>
              <w:t xml:space="preserve">.: </w:t>
            </w:r>
            <w:r>
              <w:rPr>
                <w:rStyle w:val="fontstyle31"/>
                <w:rFonts w:eastAsia="Corbel" w:cs="Corbel" w:ascii="Corbel" w:hAnsi="Corbel"/>
              </w:rPr>
              <w:t>Poznanie ucznia szkoły specjalnej</w:t>
            </w:r>
            <w:r>
              <w:rPr>
                <w:rStyle w:val="fontstyle21"/>
                <w:rFonts w:eastAsia="Corbel" w:cs="Corbel" w:ascii="Corbel" w:hAnsi="Corbel"/>
                <w:b/>
                <w:bCs/>
              </w:rPr>
              <w:t>.</w:t>
            </w:r>
            <w:r>
              <w:rPr>
                <w:rStyle w:val="fontstyle21"/>
                <w:rFonts w:eastAsia="Corbel" w:cs="Corbel" w:ascii="Corbel" w:hAnsi="Corbel"/>
              </w:rPr>
              <w:t xml:space="preserve"> Warszawa</w:t>
            </w:r>
            <w:r>
              <w:rPr>
                <w:rFonts w:eastAsia="Corbel" w:cs="Corbel" w:ascii="Corbel" w:hAnsi="Corbel"/>
              </w:rPr>
              <w:t xml:space="preserve"> </w:t>
            </w:r>
            <w:r>
              <w:rPr>
                <w:rStyle w:val="fontstyle21"/>
                <w:rFonts w:eastAsia="Corbel" w:cs="Corbel" w:ascii="Corbel" w:hAnsi="Corbel"/>
              </w:rPr>
              <w:t>1999.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/>
            </w:pPr>
            <w:r>
              <w:rPr>
                <w:rStyle w:val="fontstyle01"/>
                <w:rFonts w:eastAsia="Corbel" w:cs="Corbel" w:ascii="Corbel" w:hAnsi="Corbel"/>
              </w:rPr>
              <w:t>Jakoniuk</w:t>
            </w:r>
            <w:r>
              <w:rPr>
                <w:rStyle w:val="fontstyle21"/>
                <w:rFonts w:eastAsia="Corbel" w:cs="Corbel" w:ascii="Corbel" w:hAnsi="Corbel"/>
              </w:rPr>
              <w:t>-</w:t>
            </w:r>
            <w:r>
              <w:rPr>
                <w:rStyle w:val="fontstyle01"/>
                <w:rFonts w:eastAsia="Corbel" w:cs="Corbel" w:ascii="Corbel" w:hAnsi="Corbel"/>
              </w:rPr>
              <w:t xml:space="preserve">Diallo A., Kubiak H. </w:t>
            </w:r>
            <w:r>
              <w:rPr>
                <w:rStyle w:val="fontstyle21"/>
                <w:rFonts w:eastAsia="Corbel" w:cs="Corbel" w:ascii="Corbel" w:hAnsi="Corbel"/>
              </w:rPr>
              <w:t xml:space="preserve">(red.): </w:t>
            </w:r>
            <w:r>
              <w:rPr>
                <w:rStyle w:val="fontstyle31"/>
                <w:rFonts w:eastAsia="Corbel" w:cs="Corbel" w:ascii="Corbel" w:hAnsi="Corbel"/>
              </w:rPr>
              <w:t>O co pytają rodzice</w:t>
            </w:r>
            <w:r>
              <w:rPr>
                <w:rFonts w:eastAsia="Corbel" w:cs="Corbel" w:ascii="Corbel" w:hAnsi="Corbel"/>
                <w:b/>
                <w:bCs/>
              </w:rPr>
              <w:t xml:space="preserve"> </w:t>
            </w:r>
            <w:r>
              <w:rPr>
                <w:rStyle w:val="fontstyle31"/>
                <w:rFonts w:eastAsia="Corbel" w:cs="Corbel" w:ascii="Corbel" w:hAnsi="Corbel"/>
              </w:rPr>
              <w:t xml:space="preserve">dzieci   z niepełnosprawnością? </w:t>
            </w:r>
            <w:r>
              <w:rPr>
                <w:rStyle w:val="fontstyle21"/>
                <w:rFonts w:eastAsia="Corbel" w:cs="Corbel" w:ascii="Corbel" w:hAnsi="Corbel"/>
              </w:rPr>
              <w:t>Warszawa 2010.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</w:rPr>
              <w:t>Łoskot M., Scenariusze zajęć do pracy z uczniem o specjalnych</w:t>
            </w:r>
            <w:r>
              <w:rPr>
                <w:rFonts w:eastAsia="Corbel" w:ascii="Corbel" w:hAnsi="Corbel"/>
              </w:rPr>
              <w:br/>
            </w:r>
            <w:r>
              <w:rPr>
                <w:rFonts w:eastAsia="Corbel" w:cs="Corbel" w:ascii="Corbel" w:hAnsi="Corbel"/>
              </w:rPr>
              <w:t>potrzebach edukacyjnych // W : Problemy wychowawcze dzieci   i młodzieży T. 2., pod red. Małgorzaty Łoskot - Poznań : Wydaw. FORUM 2010.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 w:before="0" w:after="0"/>
              <w:ind w:hanging="425" w:left="459"/>
              <w:jc w:val="both"/>
              <w:rPr>
                <w:rFonts w:ascii="Corbel" w:hAnsi="Corbel" w:eastAsia="Corbel"/>
              </w:rPr>
            </w:pPr>
            <w:r>
              <w:rPr>
                <w:rFonts w:eastAsia="Corbel" w:cs="Corbel" w:ascii="Corbel" w:hAnsi="Corbel"/>
              </w:rPr>
              <w:t>Seria wydawnicza: One są wśród nas – Biblioteka cyfrowa ORE http://bc.ore.edu.pl/dlibra/collectiondescription?dirids=20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 w:eastAsia="Corbel"/>
          <w:b w:val="false"/>
          <w:caps w:val="false"/>
          <w:smallCaps w:val="false"/>
          <w:szCs w:val="24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 w:eastAsia="Corbel"/>
        </w:rPr>
      </w:pPr>
      <w:r>
        <w:rPr>
          <w:rFonts w:eastAsia="Corbel" w:ascii="Corbel" w:hAnsi="Corbel"/>
          <w:b w:val="false"/>
          <w:caps w:val="false"/>
          <w:smallCaps w:val="false"/>
          <w:szCs w:val="24"/>
        </w:rPr>
        <w:t>Akceptacja Kierownika Jednostki lub osoby upoważnionej</w:t>
      </w:r>
      <w:r>
        <w:br w:type="page"/>
      </w:r>
    </w:p>
    <w:p>
      <w:pPr>
        <w:pStyle w:val="Normal"/>
        <w:spacing w:before="0" w:after="160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Calibri">
    <w:charset w:val="ee"/>
    <w:family w:val="swiss"/>
    <w:pitch w:val="variable"/>
  </w:font>
  <w:font w:name="DejaVuSans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rbel"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hyphenationZone w:val="0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d34bb"/>
    <w:pPr>
      <w:widowControl/>
      <w:suppressAutoHyphens w:val="true"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7d34bb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7d34bb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7d34bb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7d34bb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7d34bb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7d34bb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7d34bb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7d34bb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7d34bb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7d34bb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7d34bb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7d34bb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7d34bb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7d34bb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7d34bb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7d34bb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7d34bb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7d34bb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7d34bb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7d34bb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7d34bb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d34bb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7d34bb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7d34bb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7d34bb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user">
    <w:name w:val="Znaki przypisów dolnych (user)"/>
    <w:uiPriority w:val="99"/>
    <w:semiHidden/>
    <w:unhideWhenUsed/>
    <w:qFormat/>
    <w:rsid w:val="007d34bb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ntstyle01" w:customStyle="1">
    <w:name w:val="fontstyle01"/>
    <w:qFormat/>
    <w:rsid w:val="007d34bb"/>
    <w:rPr>
      <w:rFonts w:ascii="DejaVuSans" w:hAnsi="DejaVuSans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qFormat/>
    <w:rsid w:val="007d34bb"/>
    <w:rPr>
      <w:rFonts w:ascii="Calibri" w:hAnsi="Calibri" w:cs="Calibri"/>
      <w:b w:val="false"/>
      <w:bCs w:val="false"/>
      <w:i/>
      <w:iCs/>
      <w:color w:val="000000"/>
      <w:sz w:val="22"/>
      <w:szCs w:val="22"/>
    </w:rPr>
  </w:style>
  <w:style w:type="character" w:styleId="fontstyle31" w:customStyle="1">
    <w:name w:val="fontstyle31"/>
    <w:qFormat/>
    <w:rsid w:val="007d34bb"/>
    <w:rPr>
      <w:rFonts w:ascii="Calibri" w:hAnsi="Calibri" w:cs="Calibri"/>
      <w:b/>
      <w:bCs/>
      <w:i w:val="false"/>
      <w:iCs w:val="false"/>
      <w:color w:val="000000"/>
      <w:sz w:val="22"/>
      <w:szCs w:val="22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7d34bb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7d34bb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7d34bb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7d34bb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7d34bb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7d34bb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7d34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7d34bb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7d34bb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7d34bb"/>
    <w:pPr>
      <w:tabs>
        <w:tab w:val="clear" w:pos="708"/>
        <w:tab w:val="left" w:pos="-5643" w:leader="none"/>
      </w:tabs>
      <w:overflowPunct w:val="false"/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7d34bb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7d34bb"/>
    <w:pPr>
      <w:tabs>
        <w:tab w:val="clear" w:pos="708"/>
        <w:tab w:val="left" w:pos="-5814" w:leader="none"/>
      </w:tabs>
      <w:overflowPunct w:val="false"/>
      <w:spacing w:lineRule="auto" w:line="240" w:before="0" w:after="0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7d34bb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7d34bb"/>
    <w:pPr>
      <w:tabs>
        <w:tab w:val="clear" w:pos="708"/>
        <w:tab w:val="left" w:pos="-5814" w:leader="none"/>
      </w:tabs>
      <w:overflowPunct w:val="false"/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7d34bb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7C5FB2-56FB-4944-930A-DA518677016B}"/>
</file>

<file path=customXml/itemProps2.xml><?xml version="1.0" encoding="utf-8"?>
<ds:datastoreItem xmlns:ds="http://schemas.openxmlformats.org/officeDocument/2006/customXml" ds:itemID="{D069CD73-3815-4163-93A9-D02428BC4DCF}"/>
</file>

<file path=customXml/itemProps3.xml><?xml version="1.0" encoding="utf-8"?>
<ds:datastoreItem xmlns:ds="http://schemas.openxmlformats.org/officeDocument/2006/customXml" ds:itemID="{EEA88DE0-1A61-4E64-81AC-3A84537798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LibreOffice/25.8.3.2$Windows_x86 LibreOffice_project/8ca8d55c161d602844f5428fa4b58097424e324e</Application>
  <AppVersion>15.0000</AppVersion>
  <Pages>8</Pages>
  <Words>1624</Words>
  <Characters>11249</Characters>
  <CharactersWithSpaces>12822</CharactersWithSpaces>
  <Paragraphs>223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2025-12-18T09:11:00Z</dcterms:created>
  <dc:creator>Anna Szczepaniec</dc:creator>
  <dc:description/>
  <dc:language>pl-PL</dc:language>
  <cp:lastModifiedBy/>
  <dcterms:modified xsi:type="dcterms:W3CDTF">2026-03-01T15:32:49Z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